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EBE0ABF" w:rsidR="00D6147A" w:rsidRDefault="00E34595" w:rsidP="00E34595">
      <w:hyperlink r:id="rId6" w:history="1">
        <w:r w:rsidRPr="00A879D4">
          <w:rPr>
            <w:rStyle w:val="Collegamentoipertestuale"/>
          </w:rPr>
          <w:t>https://agenparl.eu/2025/02/14/banca-ditalia-intervento-della-vice-direttrice-generale-chiara-scotti-al-congresso-assiom-forex-14-feb-2025/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B6CBA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34595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genparl.eu/2025/02/14/banca-ditalia-intervento-della-vice-direttrice-generale-chiara-scotti-al-congresso-assiom-forex-14-feb-20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2025-02-18T08:31:00Z</dcterms:created>
  <dcterms:modified xsi:type="dcterms:W3CDTF">2025-02-18T08:51:00Z</dcterms:modified>
</cp:coreProperties>
</file>